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40" w:rsidRPr="00774529" w:rsidRDefault="00317DBE" w:rsidP="00C14440">
      <w:pPr>
        <w:spacing w:line="360" w:lineRule="auto"/>
        <w:contextualSpacing/>
        <w:jc w:val="center"/>
        <w:rPr>
          <w:rFonts w:cs="Calibri"/>
          <w:b/>
          <w:caps/>
          <w:sz w:val="28"/>
          <w:szCs w:val="24"/>
        </w:rPr>
      </w:pPr>
      <w:r>
        <w:rPr>
          <w:rFonts w:cs="Calibri"/>
          <w:b/>
          <w:caps/>
          <w:sz w:val="28"/>
          <w:szCs w:val="24"/>
        </w:rPr>
        <w:t xml:space="preserve">3:4 </w:t>
      </w:r>
      <w:r w:rsidR="00C14440" w:rsidRPr="00774529">
        <w:rPr>
          <w:rFonts w:cs="Calibri"/>
          <w:b/>
          <w:caps/>
          <w:sz w:val="28"/>
          <w:szCs w:val="24"/>
        </w:rPr>
        <w:t>Financial Management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b/>
          <w:sz w:val="24"/>
          <w:szCs w:val="24"/>
        </w:rPr>
      </w:pPr>
      <w:r w:rsidRPr="00774529">
        <w:rPr>
          <w:rFonts w:cs="Calibri"/>
          <w:b/>
          <w:sz w:val="24"/>
          <w:szCs w:val="24"/>
        </w:rPr>
        <w:t>Objectives: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1. Provide an in-depth view of the process in financial management of the firm.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>2. Develop knowledge on the allocation, management and funding of financial resources.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3. Improving students’ understanding of the time value of money concept and the role of a financial manager in the current competitive business scenario.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4.  Enhancing student’s ability in dealing with day-to-day working capital decision; and also longer-term dealing, which involves major capital investment decisions and raising long-term finance. </w:t>
      </w:r>
    </w:p>
    <w:p w:rsidR="00C14440" w:rsidRPr="00774529" w:rsidRDefault="00C14440" w:rsidP="00C14440">
      <w:pPr>
        <w:spacing w:after="100" w:afterAutospacing="1" w:line="240" w:lineRule="auto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>5. Demonstrate the importance of working capital management and the tools to manage it.</w:t>
      </w:r>
    </w:p>
    <w:p w:rsidR="00C14440" w:rsidRPr="00774529" w:rsidRDefault="00C14440" w:rsidP="00C14440">
      <w:pPr>
        <w:rPr>
          <w:rFonts w:cs="Calibri"/>
          <w:b/>
          <w:sz w:val="24"/>
          <w:szCs w:val="24"/>
        </w:rPr>
      </w:pPr>
      <w:r w:rsidRPr="00774529">
        <w:rPr>
          <w:rFonts w:cs="Calibri"/>
          <w:b/>
          <w:sz w:val="24"/>
          <w:szCs w:val="24"/>
        </w:rPr>
        <w:t>Outcomes:</w:t>
      </w:r>
    </w:p>
    <w:p w:rsidR="00C14440" w:rsidRPr="00774529" w:rsidRDefault="00C14440" w:rsidP="00C14440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On completion of this paper, the students will be able to </w:t>
      </w:r>
    </w:p>
    <w:p w:rsidR="00C14440" w:rsidRPr="00774529" w:rsidRDefault="00C14440" w:rsidP="00C14440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rFonts w:ascii="Calibri" w:hAnsi="Calibri" w:cs="Calibri"/>
        </w:rPr>
      </w:pPr>
      <w:r w:rsidRPr="00774529">
        <w:rPr>
          <w:rFonts w:ascii="Calibri" w:hAnsi="Calibri" w:cs="Calibri"/>
        </w:rPr>
        <w:t xml:space="preserve">Describe the financial environment within which organisations must operate </w:t>
      </w:r>
    </w:p>
    <w:p w:rsidR="00C14440" w:rsidRPr="00774529" w:rsidRDefault="00C14440" w:rsidP="00C14440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rFonts w:ascii="Calibri" w:hAnsi="Calibri" w:cs="Calibri"/>
        </w:rPr>
      </w:pPr>
      <w:r w:rsidRPr="00774529">
        <w:rPr>
          <w:rFonts w:ascii="Calibri" w:hAnsi="Calibri" w:cs="Calibri"/>
        </w:rPr>
        <w:t>Explain the fundamental financial concepts, especially time value of money</w:t>
      </w:r>
    </w:p>
    <w:p w:rsidR="00C14440" w:rsidRPr="00774529" w:rsidRDefault="00C14440" w:rsidP="00C14440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rFonts w:ascii="Calibri" w:hAnsi="Calibri" w:cs="Calibri"/>
        </w:rPr>
      </w:pPr>
      <w:r w:rsidRPr="00774529">
        <w:rPr>
          <w:rFonts w:ascii="Calibri" w:hAnsi="Calibri" w:cs="Calibri"/>
        </w:rPr>
        <w:t xml:space="preserve">Apply capital budgeting projects using traditional methods. </w:t>
      </w:r>
    </w:p>
    <w:p w:rsidR="00C14440" w:rsidRPr="00774529" w:rsidRDefault="00C14440" w:rsidP="00C14440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rFonts w:ascii="Calibri" w:hAnsi="Calibri" w:cs="Calibri"/>
        </w:rPr>
      </w:pPr>
      <w:r w:rsidRPr="00774529">
        <w:rPr>
          <w:rFonts w:ascii="Calibri" w:hAnsi="Calibri" w:cs="Calibri"/>
        </w:rPr>
        <w:t>Assess the factors affecting investment decisions and opportunities presented to an organisation</w:t>
      </w:r>
    </w:p>
    <w:p w:rsidR="00C14440" w:rsidRPr="00774529" w:rsidRDefault="00C14440" w:rsidP="00C14440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rFonts w:ascii="Calibri" w:hAnsi="Calibri" w:cs="Calibri"/>
        </w:rPr>
      </w:pPr>
      <w:r w:rsidRPr="00774529">
        <w:rPr>
          <w:rFonts w:ascii="Calibri" w:hAnsi="Calibri" w:cs="Calibri"/>
        </w:rPr>
        <w:t>Analyse a company’s performance and make appropriate recommendations.</w:t>
      </w:r>
    </w:p>
    <w:p w:rsidR="00C14440" w:rsidRPr="00774529" w:rsidRDefault="00C14440" w:rsidP="00C14440">
      <w:pPr>
        <w:spacing w:after="100" w:afterAutospacing="1" w:line="240" w:lineRule="auto"/>
        <w:contextualSpacing/>
        <w:jc w:val="center"/>
        <w:rPr>
          <w:rFonts w:cs="Calibri"/>
          <w:sz w:val="24"/>
          <w:szCs w:val="24"/>
        </w:rPr>
      </w:pPr>
    </w:p>
    <w:p w:rsidR="00C14440" w:rsidRPr="00774529" w:rsidRDefault="00C14440" w:rsidP="00C14440">
      <w:pPr>
        <w:spacing w:line="360" w:lineRule="auto"/>
        <w:contextualSpacing/>
        <w:jc w:val="center"/>
        <w:rPr>
          <w:rFonts w:cs="Calibri"/>
          <w:sz w:val="24"/>
          <w:szCs w:val="24"/>
        </w:rPr>
      </w:pPr>
    </w:p>
    <w:p w:rsidR="00C14440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Unit-I</w:t>
      </w:r>
      <w:r w:rsidRPr="00774529">
        <w:rPr>
          <w:rFonts w:cs="Calibri"/>
          <w:sz w:val="24"/>
          <w:szCs w:val="24"/>
        </w:rPr>
        <w:t>:</w:t>
      </w:r>
    </w:p>
    <w:p w:rsidR="00C14440" w:rsidRPr="00774529" w:rsidRDefault="00C14440" w:rsidP="00C14440">
      <w:pPr>
        <w:spacing w:line="360" w:lineRule="auto"/>
        <w:ind w:left="630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Financial management:</w:t>
      </w:r>
      <w:r w:rsidRPr="00774529">
        <w:rPr>
          <w:rFonts w:cs="Calibri"/>
          <w:sz w:val="24"/>
          <w:szCs w:val="24"/>
        </w:rPr>
        <w:t xml:space="preserve"> meaning, nature and scope of finance; financial goals: profit maximization, wealth maximization; finance functions- investment, financing and dividend decisions, role of a finance manager in contemporary business environment.</w:t>
      </w:r>
    </w:p>
    <w:p w:rsidR="00C14440" w:rsidRPr="00774529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</w:t>
      </w:r>
    </w:p>
    <w:p w:rsidR="00C14440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Unit-II</w:t>
      </w:r>
      <w:r w:rsidRPr="00774529">
        <w:rPr>
          <w:rFonts w:cs="Calibri"/>
          <w:sz w:val="24"/>
          <w:szCs w:val="24"/>
        </w:rPr>
        <w:t xml:space="preserve">: </w:t>
      </w:r>
    </w:p>
    <w:p w:rsidR="00C14440" w:rsidRPr="00774529" w:rsidRDefault="00C14440" w:rsidP="00C14440">
      <w:pPr>
        <w:spacing w:line="360" w:lineRule="auto"/>
        <w:ind w:left="630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 xml:space="preserve"> Capital budgeting: </w:t>
      </w:r>
      <w:r w:rsidRPr="00774529">
        <w:rPr>
          <w:rFonts w:cs="Calibri"/>
          <w:sz w:val="24"/>
          <w:szCs w:val="24"/>
        </w:rPr>
        <w:t>nature of investment decisions; investment evaluation - net present value, Internal Rate of Return, Profitability Index, Payback Period, Accounting Rate of Return , NPV and IRR comparison; Capital Rationing; risk analysis in capital budgeting.</w:t>
      </w:r>
    </w:p>
    <w:p w:rsidR="00C14440" w:rsidRPr="00774529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</w:p>
    <w:p w:rsidR="00C14440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lastRenderedPageBreak/>
        <w:t xml:space="preserve"> Unit-III:</w:t>
      </w:r>
      <w:r w:rsidRPr="00774529">
        <w:rPr>
          <w:rFonts w:cs="Calibri"/>
          <w:sz w:val="24"/>
          <w:szCs w:val="24"/>
        </w:rPr>
        <w:t xml:space="preserve"> </w:t>
      </w:r>
    </w:p>
    <w:p w:rsidR="00C14440" w:rsidRPr="00774529" w:rsidRDefault="00C14440" w:rsidP="00C14440">
      <w:pPr>
        <w:spacing w:line="360" w:lineRule="auto"/>
        <w:ind w:left="810"/>
        <w:contextualSpacing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  <w:r w:rsidRPr="001308F2">
        <w:rPr>
          <w:rFonts w:cs="Calibri"/>
          <w:b/>
          <w:sz w:val="24"/>
          <w:szCs w:val="24"/>
        </w:rPr>
        <w:t>Working capital</w:t>
      </w:r>
      <w:r w:rsidRPr="00774529">
        <w:rPr>
          <w:rFonts w:cs="Calibri"/>
          <w:sz w:val="24"/>
          <w:szCs w:val="24"/>
        </w:rPr>
        <w:t>: meaning, significance and types of working capital; financing of working capital; sources of working capital; management of inventory; management of cash; management of account receivables; optimum credit policy; credit collection, dimensions of working capital management.</w:t>
      </w:r>
    </w:p>
    <w:p w:rsidR="00C14440" w:rsidRPr="00774529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</w:t>
      </w:r>
    </w:p>
    <w:p w:rsidR="00C14440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Unit-IV:</w:t>
      </w:r>
      <w:r w:rsidRPr="00774529">
        <w:rPr>
          <w:rFonts w:cs="Calibri"/>
          <w:sz w:val="24"/>
          <w:szCs w:val="24"/>
        </w:rPr>
        <w:t xml:space="preserve"> </w:t>
      </w:r>
    </w:p>
    <w:p w:rsidR="00C14440" w:rsidRPr="00774529" w:rsidRDefault="00C14440" w:rsidP="00C14440">
      <w:pPr>
        <w:spacing w:line="360" w:lineRule="auto"/>
        <w:ind w:left="900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Capital structure and Leverage</w:t>
      </w:r>
      <w:r w:rsidRPr="00774529">
        <w:rPr>
          <w:rFonts w:cs="Calibri"/>
          <w:sz w:val="24"/>
          <w:szCs w:val="24"/>
        </w:rPr>
        <w:t xml:space="preserve"> – Meaning of Capital structure, Features of an appropriate Capital Structures. Meaning of Financial Leverage, Measures of financial Leverage, Financial leverage and shareholders Return, Operating Leverage – concept and Implications. Combining financial and Operating leverage; Capital structure theories: traditional and MM hypotheses.</w:t>
      </w:r>
    </w:p>
    <w:p w:rsidR="00C14440" w:rsidRPr="00774529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</w:p>
    <w:p w:rsidR="00C14440" w:rsidRDefault="00C14440" w:rsidP="00C14440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Unit-V:</w:t>
      </w:r>
      <w:r w:rsidRPr="00774529">
        <w:rPr>
          <w:rFonts w:cs="Calibri"/>
          <w:sz w:val="24"/>
          <w:szCs w:val="24"/>
        </w:rPr>
        <w:t xml:space="preserve"> </w:t>
      </w:r>
    </w:p>
    <w:p w:rsidR="00C14440" w:rsidRPr="00774529" w:rsidRDefault="00C14440" w:rsidP="00C14440">
      <w:pPr>
        <w:spacing w:line="360" w:lineRule="auto"/>
        <w:ind w:left="810"/>
        <w:contextualSpacing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Dividend decisions</w:t>
      </w:r>
      <w:r w:rsidRPr="00774529">
        <w:rPr>
          <w:rFonts w:cs="Calibri"/>
          <w:sz w:val="24"/>
          <w:szCs w:val="24"/>
        </w:rPr>
        <w:t xml:space="preserve">—Types of dividend- dividend models - Determinants of dividend policy - Practical aspects of dividend. </w:t>
      </w:r>
    </w:p>
    <w:p w:rsidR="00C14440" w:rsidRPr="00774529" w:rsidRDefault="00C14440" w:rsidP="00C14440">
      <w:pPr>
        <w:rPr>
          <w:rFonts w:cs="Calibri"/>
          <w:sz w:val="24"/>
          <w:szCs w:val="24"/>
        </w:rPr>
      </w:pPr>
    </w:p>
    <w:p w:rsidR="00C14440" w:rsidRPr="00B53D1F" w:rsidRDefault="00C14440" w:rsidP="00C14440">
      <w:pPr>
        <w:ind w:left="760" w:hanging="670"/>
        <w:rPr>
          <w:rFonts w:cs="Calibri"/>
          <w:b/>
          <w:sz w:val="24"/>
        </w:rPr>
      </w:pPr>
      <w:r w:rsidRPr="001308F2">
        <w:rPr>
          <w:rFonts w:cs="Calibri"/>
          <w:b/>
          <w:caps/>
          <w:sz w:val="24"/>
        </w:rPr>
        <w:t xml:space="preserve"> </w:t>
      </w:r>
      <w:r w:rsidRPr="00B53D1F">
        <w:rPr>
          <w:rFonts w:cs="Calibri"/>
          <w:b/>
          <w:caps/>
          <w:sz w:val="24"/>
        </w:rPr>
        <w:t>Suggested Readings</w:t>
      </w:r>
      <w:r w:rsidRPr="00B53D1F">
        <w:rPr>
          <w:rFonts w:cs="Calibri"/>
          <w:b/>
          <w:sz w:val="24"/>
        </w:rPr>
        <w:t>: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proofErr w:type="spellStart"/>
      <w:r w:rsidRPr="00774529">
        <w:rPr>
          <w:rFonts w:cs="Calibri"/>
          <w:sz w:val="24"/>
          <w:szCs w:val="24"/>
        </w:rPr>
        <w:t>Pandey</w:t>
      </w:r>
      <w:proofErr w:type="spellEnd"/>
      <w:r w:rsidRPr="00774529">
        <w:rPr>
          <w:rFonts w:cs="Calibri"/>
          <w:sz w:val="24"/>
          <w:szCs w:val="24"/>
        </w:rPr>
        <w:t>, I.M.: Financial Management, Prentice Hall of India, New Delhi.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Chandra, </w:t>
      </w:r>
      <w:proofErr w:type="spellStart"/>
      <w:r w:rsidRPr="00774529">
        <w:rPr>
          <w:rFonts w:cs="Calibri"/>
          <w:sz w:val="24"/>
          <w:szCs w:val="24"/>
        </w:rPr>
        <w:t>Prasanna</w:t>
      </w:r>
      <w:proofErr w:type="spellEnd"/>
      <w:r w:rsidRPr="00774529">
        <w:rPr>
          <w:rFonts w:cs="Calibri"/>
          <w:sz w:val="24"/>
          <w:szCs w:val="24"/>
        </w:rPr>
        <w:t>: Financial Management; Tata McGraw Hill, Delhi.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Khan M.Y. and Jain P.K.: Financial Management; Tata McGraw Hill, Delhi. 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proofErr w:type="spellStart"/>
      <w:r w:rsidRPr="00774529">
        <w:rPr>
          <w:rFonts w:cs="Calibri"/>
          <w:sz w:val="24"/>
          <w:szCs w:val="24"/>
        </w:rPr>
        <w:t>Vanhorne</w:t>
      </w:r>
      <w:proofErr w:type="spellEnd"/>
      <w:r w:rsidRPr="00774529">
        <w:rPr>
          <w:rFonts w:cs="Calibri"/>
          <w:sz w:val="24"/>
          <w:szCs w:val="24"/>
        </w:rPr>
        <w:t>, J.C.: Financial Management and Policy; Prentice Hall of India, New Delhi.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Bhattacharya, </w:t>
      </w:r>
      <w:proofErr w:type="spellStart"/>
      <w:r w:rsidRPr="00774529">
        <w:rPr>
          <w:rFonts w:cs="Calibri"/>
          <w:sz w:val="24"/>
          <w:szCs w:val="24"/>
        </w:rPr>
        <w:t>Hrishikesh</w:t>
      </w:r>
      <w:proofErr w:type="spellEnd"/>
      <w:r w:rsidRPr="00774529">
        <w:rPr>
          <w:rFonts w:cs="Calibri"/>
          <w:sz w:val="24"/>
          <w:szCs w:val="24"/>
        </w:rPr>
        <w:t xml:space="preserve">: Working Capital Management: Strategies &amp; Techniques; PHC, New Delhi. </w:t>
      </w:r>
    </w:p>
    <w:p w:rsidR="00C14440" w:rsidRPr="00774529" w:rsidRDefault="00C14440" w:rsidP="00C14440">
      <w:pPr>
        <w:numPr>
          <w:ilvl w:val="0"/>
          <w:numId w:val="1"/>
        </w:num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Ravi M </w:t>
      </w:r>
      <w:proofErr w:type="spellStart"/>
      <w:r w:rsidRPr="00774529">
        <w:rPr>
          <w:rFonts w:cs="Calibri"/>
          <w:sz w:val="24"/>
          <w:szCs w:val="24"/>
        </w:rPr>
        <w:t>Kishore</w:t>
      </w:r>
      <w:proofErr w:type="spellEnd"/>
      <w:r w:rsidRPr="00774529">
        <w:rPr>
          <w:rFonts w:cs="Calibri"/>
          <w:sz w:val="24"/>
          <w:szCs w:val="24"/>
        </w:rPr>
        <w:t>: Fundamentals of Financial Management, Taxman Publications.</w:t>
      </w:r>
    </w:p>
    <w:p w:rsidR="00004D97" w:rsidRDefault="00004D97"/>
    <w:sectPr w:rsidR="00004D97" w:rsidSect="00004D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C5E"/>
    <w:multiLevelType w:val="hybridMultilevel"/>
    <w:tmpl w:val="DBC006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66B3C"/>
    <w:multiLevelType w:val="hybridMultilevel"/>
    <w:tmpl w:val="482887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4440"/>
    <w:rsid w:val="00004D97"/>
    <w:rsid w:val="00317DBE"/>
    <w:rsid w:val="00B93086"/>
    <w:rsid w:val="00C1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44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4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3</cp:revision>
  <dcterms:created xsi:type="dcterms:W3CDTF">2020-11-28T12:23:00Z</dcterms:created>
  <dcterms:modified xsi:type="dcterms:W3CDTF">2021-07-16T02:55:00Z</dcterms:modified>
</cp:coreProperties>
</file>